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8A" w:rsidRDefault="00710D8A">
      <w:bookmarkStart w:id="0" w:name="_GoBack"/>
      <w:bookmarkEnd w:id="0"/>
    </w:p>
    <w:p w:rsidR="00ED5A4F" w:rsidRPr="00710D8A" w:rsidRDefault="007008B5" w:rsidP="00710D8A">
      <w:pPr>
        <w:jc w:val="center"/>
        <w:rPr>
          <w:sz w:val="40"/>
          <w:szCs w:val="40"/>
        </w:rPr>
      </w:pPr>
      <w:r w:rsidRPr="00710D8A">
        <w:rPr>
          <w:sz w:val="40"/>
          <w:szCs w:val="40"/>
        </w:rPr>
        <w:t>COMISION DE EVALUACION</w:t>
      </w:r>
    </w:p>
    <w:p w:rsidR="00710D8A" w:rsidRDefault="00710D8A" w:rsidP="00710D8A">
      <w:pPr>
        <w:spacing w:line="240" w:lineRule="auto"/>
        <w:contextualSpacing/>
        <w:jc w:val="both"/>
      </w:pPr>
      <w:r>
        <w:t>ARTÍCULO 61.- ETAPA DE EVALUACIÓN DE LAS OFERTAS. Se entenderá por etapa de evaluación de las ofertas al período que va desde el momento en que los actuados son remitidos a la Comisión Evaluadora, hasta la notificación del dictamen de evaluación.</w:t>
      </w:r>
    </w:p>
    <w:p w:rsidR="00710D8A" w:rsidRDefault="00710D8A" w:rsidP="00710D8A">
      <w:pPr>
        <w:spacing w:line="240" w:lineRule="auto"/>
        <w:contextualSpacing/>
        <w:jc w:val="both"/>
      </w:pPr>
      <w:r>
        <w:t xml:space="preserve">La etapa de evaluación de las ofertas es </w:t>
      </w:r>
      <w:r w:rsidRPr="00AA40A6">
        <w:rPr>
          <w:b/>
          <w:u w:val="single"/>
        </w:rPr>
        <w:t>confidencial</w:t>
      </w:r>
      <w:r>
        <w:t>, por lo cual durante esa etapa no se concederá vista de las actuaciones.</w:t>
      </w:r>
    </w:p>
    <w:p w:rsidR="00044E03" w:rsidRDefault="00044E03" w:rsidP="00710D8A">
      <w:pPr>
        <w:spacing w:line="240" w:lineRule="auto"/>
        <w:contextualSpacing/>
        <w:jc w:val="both"/>
      </w:pPr>
    </w:p>
    <w:p w:rsidR="00710D8A" w:rsidRDefault="00710D8A" w:rsidP="00710D8A">
      <w:pPr>
        <w:spacing w:line="240" w:lineRule="auto"/>
        <w:contextualSpacing/>
        <w:jc w:val="both"/>
      </w:pPr>
      <w:r>
        <w:t>ARTÍCULO 64.- SESIONES DE LAS COMISIONES EVALUADORAS. Para sesionar y emitir dictámenes, las Comisiones Evaluadoras se sujetarán a las siguientes reglas:</w:t>
      </w:r>
    </w:p>
    <w:p w:rsidR="00710D8A" w:rsidRDefault="00710D8A" w:rsidP="00710D8A">
      <w:pPr>
        <w:spacing w:line="240" w:lineRule="auto"/>
        <w:contextualSpacing/>
        <w:jc w:val="both"/>
      </w:pPr>
    </w:p>
    <w:p w:rsidR="00710D8A" w:rsidRDefault="00710D8A" w:rsidP="00710D8A">
      <w:pPr>
        <w:spacing w:line="240" w:lineRule="auto"/>
        <w:contextualSpacing/>
        <w:jc w:val="both"/>
      </w:pPr>
      <w:r>
        <w:t>a) El quórum para el funcionamiento de las Comisiones Evaluadoras, se dará con la totalidad de sus TRES (3) miembros titulares, completándose en caso de ausencia o de impedimento debidamente justificados, con los suplentes respectivos;</w:t>
      </w:r>
    </w:p>
    <w:p w:rsidR="00710D8A" w:rsidRDefault="00710D8A" w:rsidP="00710D8A">
      <w:pPr>
        <w:spacing w:line="240" w:lineRule="auto"/>
        <w:contextualSpacing/>
        <w:jc w:val="both"/>
      </w:pPr>
    </w:p>
    <w:p w:rsidR="00710D8A" w:rsidRDefault="00710D8A" w:rsidP="00710D8A">
      <w:pPr>
        <w:spacing w:line="240" w:lineRule="auto"/>
        <w:contextualSpacing/>
        <w:jc w:val="both"/>
      </w:pPr>
      <w:r>
        <w:t>b) Los acuerdos se tomarán por mayoría absoluta, calculada sobre el total de sus miembros.</w:t>
      </w:r>
    </w:p>
    <w:p w:rsidR="00710D8A" w:rsidRDefault="00710D8A" w:rsidP="00710D8A">
      <w:pPr>
        <w:spacing w:line="240" w:lineRule="auto"/>
        <w:contextualSpacing/>
        <w:jc w:val="both"/>
      </w:pPr>
    </w:p>
    <w:p w:rsidR="00710D8A" w:rsidRDefault="00710D8A" w:rsidP="00710D8A">
      <w:pPr>
        <w:spacing w:line="240" w:lineRule="auto"/>
        <w:contextualSpacing/>
        <w:jc w:val="both"/>
      </w:pPr>
      <w:r>
        <w:t>Durante el término que se otorgue para que los peritos o las instituciones estatales o privadas emitan sus informes, o para que los oferentes subsanen los errores u omisiones de las ofertas, se suspenderá el plazo que las Comisiones Evaluadoras tienen para expedirse.</w:t>
      </w:r>
    </w:p>
    <w:p w:rsidR="00710D8A" w:rsidRDefault="00710D8A" w:rsidP="00710D8A">
      <w:pPr>
        <w:spacing w:line="240" w:lineRule="auto"/>
        <w:contextualSpacing/>
        <w:jc w:val="both"/>
      </w:pPr>
    </w:p>
    <w:p w:rsidR="00710D8A" w:rsidRPr="00E96409" w:rsidRDefault="00710D8A" w:rsidP="00710D8A">
      <w:pPr>
        <w:spacing w:line="240" w:lineRule="auto"/>
        <w:contextualSpacing/>
        <w:jc w:val="both"/>
        <w:rPr>
          <w:b/>
        </w:rPr>
      </w:pPr>
      <w:r>
        <w:t xml:space="preserve">ARTÍCULO 65.- FUNCIONES DE LAS COMISIONES EVALUADORAS. Las Comisiones Evaluadoras emitirán su dictamen, el cual </w:t>
      </w:r>
      <w:r w:rsidRPr="00E96409">
        <w:rPr>
          <w:u w:val="single"/>
        </w:rPr>
        <w:t>no tendrá carácter vinculante</w:t>
      </w:r>
      <w:r>
        <w:t xml:space="preserve">, que </w:t>
      </w:r>
      <w:r w:rsidRPr="00E96409">
        <w:rPr>
          <w:b/>
        </w:rPr>
        <w:t>proporcionará a la autoridad competente los fundamentos para el dictado del acto administrativo con el cual concluirá el procedimiento.</w:t>
      </w:r>
    </w:p>
    <w:p w:rsidR="00710D8A" w:rsidRDefault="00710D8A" w:rsidP="00710D8A">
      <w:pPr>
        <w:spacing w:line="240" w:lineRule="auto"/>
        <w:contextualSpacing/>
        <w:jc w:val="both"/>
      </w:pPr>
    </w:p>
    <w:p w:rsidR="000A12A7" w:rsidRDefault="000A12A7" w:rsidP="000A12A7">
      <w:pPr>
        <w:jc w:val="both"/>
      </w:pPr>
      <w:r w:rsidRPr="00710D8A">
        <w:t>ARTÍCULO 71.-</w:t>
      </w:r>
      <w:r>
        <w:t xml:space="preserve"> </w:t>
      </w:r>
      <w:r w:rsidRPr="00710D8A">
        <w:rPr>
          <w:b/>
          <w:u w:val="single"/>
        </w:rPr>
        <w:t>PLAZO PARA EMITIR EL DICTAMEN DE EVALUACIÓN</w:t>
      </w:r>
      <w:r>
        <w:t xml:space="preserve">. El dictamen de evaluación de las ofertas deberá emitirse dentro del término de </w:t>
      </w:r>
      <w:r w:rsidRPr="000A12A7">
        <w:rPr>
          <w:b/>
        </w:rPr>
        <w:t>CINCO (5) días</w:t>
      </w:r>
      <w:r>
        <w:t xml:space="preserve"> contados a partir del día hábil inmediato siguiente a la fecha de recepción de las actuaciones.</w:t>
      </w:r>
    </w:p>
    <w:p w:rsidR="00AA40A6" w:rsidRDefault="000A12A7" w:rsidP="000A12A7">
      <w:pPr>
        <w:jc w:val="both"/>
      </w:pPr>
      <w:r>
        <w:t>Dicho plazo sólo podrá ser excedido por causas excepcionales, las que deberán ser debidamente fundadas por las Comisiones Evaluadoras en su dictamen.</w:t>
      </w:r>
    </w:p>
    <w:p w:rsidR="00E15320" w:rsidRDefault="00E15320" w:rsidP="00E15320">
      <w:pPr>
        <w:jc w:val="both"/>
      </w:pPr>
      <w:r w:rsidRPr="00710D8A">
        <w:t>ARTÍCULO 27</w:t>
      </w:r>
      <w:r w:rsidR="001B44D0" w:rsidRPr="00710D8A">
        <w:t>-</w:t>
      </w:r>
      <w:r w:rsidR="001B44D0">
        <w:t xml:space="preserve">  </w:t>
      </w:r>
      <w:r w:rsidR="001B44D0" w:rsidRPr="001B44D0">
        <w:t xml:space="preserve">Disposición 62 - E/2016: </w:t>
      </w:r>
      <w:r w:rsidRPr="00710D8A">
        <w:rPr>
          <w:b/>
          <w:u w:val="single"/>
        </w:rPr>
        <w:t>DICTAMEN DE EVALUACIÓN</w:t>
      </w:r>
      <w:r>
        <w:t>.</w:t>
      </w:r>
      <w:proofErr w:type="gramStart"/>
      <w:r>
        <w:t>- …</w:t>
      </w:r>
      <w:proofErr w:type="gramEnd"/>
      <w:r>
        <w:t>Serán contenidos mínimos del dictamen de evaluación:</w:t>
      </w:r>
    </w:p>
    <w:p w:rsidR="00E15320" w:rsidRDefault="00E15320" w:rsidP="00E15320">
      <w:pPr>
        <w:jc w:val="both"/>
      </w:pPr>
      <w:r>
        <w:t xml:space="preserve">1. Resultado de la consulta </w:t>
      </w:r>
      <w:r w:rsidR="00710D8A">
        <w:t xml:space="preserve">  </w:t>
      </w:r>
      <w:hyperlink r:id="rId8" w:history="1">
        <w:r w:rsidR="00710D8A" w:rsidRPr="00710D8A">
          <w:rPr>
            <w:rStyle w:val="Hipervnculo"/>
          </w:rPr>
          <w:t>SIPRO</w:t>
        </w:r>
      </w:hyperlink>
      <w:r w:rsidR="00710D8A">
        <w:t xml:space="preserve"> </w:t>
      </w:r>
      <w:r>
        <w:t xml:space="preserve">al </w:t>
      </w:r>
      <w:hyperlink r:id="rId9" w:history="1">
        <w:r w:rsidR="00710D8A">
          <w:rPr>
            <w:rStyle w:val="Hipervnculo"/>
          </w:rPr>
          <w:t>COMPR.AR</w:t>
        </w:r>
      </w:hyperlink>
      <w:r w:rsidR="00710D8A">
        <w:rPr>
          <w:rStyle w:val="Hipervnculo"/>
        </w:rPr>
        <w:t xml:space="preserve"> </w:t>
      </w:r>
    </w:p>
    <w:p w:rsidR="00E15320" w:rsidRDefault="00E15320" w:rsidP="00E15320">
      <w:pPr>
        <w:jc w:val="both"/>
      </w:pPr>
      <w:r>
        <w:t>2. Verificación del cumplimiento de los requisitos que deben cumplir las ofertas y los oferentes.</w:t>
      </w:r>
    </w:p>
    <w:p w:rsidR="00E15320" w:rsidRDefault="00E15320" w:rsidP="00E15320">
      <w:pPr>
        <w:jc w:val="both"/>
      </w:pPr>
      <w:r>
        <w:lastRenderedPageBreak/>
        <w:t xml:space="preserve">Si el </w:t>
      </w:r>
      <w:hyperlink r:id="rId10" w:history="1">
        <w:r w:rsidRPr="001B44D0">
          <w:rPr>
            <w:rStyle w:val="Hipervnculo"/>
          </w:rPr>
          <w:t>certificado</w:t>
        </w:r>
        <w:r w:rsidRPr="001B44D0">
          <w:rPr>
            <w:rStyle w:val="Hipervnculo"/>
          </w:rPr>
          <w:t xml:space="preserve"> </w:t>
        </w:r>
        <w:r w:rsidRPr="001B44D0">
          <w:rPr>
            <w:rStyle w:val="Hipervnculo"/>
          </w:rPr>
          <w:t>fiscal</w:t>
        </w:r>
      </w:hyperlink>
      <w:r>
        <w:t xml:space="preserve"> para contratar no estuviera vigente durante la etapa de evaluación de las ofertas, no podrá recomendarse la desestimación por esta causa, salvo en aquellos casos en que el proveedor hubiere notificado la denegatoria efectuada por la ADMINISTRACION FEDERAL DE INGRESOS PÚBLICOS a su pedido o se tomare conocimiento de ello por algún otro medio. El mismo criterio deberá aplicarse para la adjudicación y el perfeccionamiento del contrato.</w:t>
      </w:r>
    </w:p>
    <w:p w:rsidR="00E15320" w:rsidRDefault="00E15320" w:rsidP="00E15320">
      <w:pPr>
        <w:jc w:val="both"/>
      </w:pPr>
      <w:r>
        <w:t xml:space="preserve">3. Si existieren ofertas </w:t>
      </w:r>
      <w:r w:rsidRPr="001B44D0">
        <w:rPr>
          <w:b/>
        </w:rPr>
        <w:t>inadmisibles</w:t>
      </w:r>
      <w:r>
        <w:t xml:space="preserve"> explicará los motivos fundándolos en las disposiciones pertinentes. Se entenderá por oferta inadmisible aquella que no cumpla con los requisitos que deben cumplir las ofertas y los oferentes.</w:t>
      </w:r>
    </w:p>
    <w:p w:rsidR="00E15320" w:rsidRDefault="00E15320" w:rsidP="00E15320">
      <w:pPr>
        <w:jc w:val="both"/>
      </w:pPr>
      <w:r>
        <w:t xml:space="preserve">4. Si hubiera ofertas </w:t>
      </w:r>
      <w:r w:rsidRPr="001B44D0">
        <w:rPr>
          <w:b/>
        </w:rPr>
        <w:t>inconvenientes</w:t>
      </w:r>
      <w:r>
        <w:t xml:space="preserve">, deberá explicar los fundamentos para excluirlas del orden de mérito. Se entenderá que una oferta es inconveniente cuando por razones de precio, </w:t>
      </w:r>
      <w:proofErr w:type="gramStart"/>
      <w:r>
        <w:t>financiación</w:t>
      </w:r>
      <w:proofErr w:type="gramEnd"/>
      <w:r>
        <w:t xml:space="preserve"> u otras cuestiones no satisfaga adecuadamente los intereses de la entidad o jurisdicción contratante.</w:t>
      </w:r>
    </w:p>
    <w:p w:rsidR="00E15320" w:rsidRDefault="00E15320" w:rsidP="00E15320">
      <w:pPr>
        <w:jc w:val="both"/>
      </w:pPr>
      <w:r>
        <w:t xml:space="preserve">5. Respecto de las ofertas que resulten </w:t>
      </w:r>
      <w:r w:rsidRPr="001B44D0">
        <w:rPr>
          <w:b/>
        </w:rPr>
        <w:t>admisibles y convenientes</w:t>
      </w:r>
      <w:r>
        <w:t xml:space="preserve">, deberá considerar los factores previstos por el pliego de bases y condiciones particulares para la comparación de las ofertas y la incidencia de cada uno de ellos, y determinar el </w:t>
      </w:r>
      <w:r w:rsidRPr="001B44D0">
        <w:rPr>
          <w:b/>
        </w:rPr>
        <w:t>orden de mérito</w:t>
      </w:r>
      <w:r>
        <w:t>.</w:t>
      </w:r>
    </w:p>
    <w:p w:rsidR="00E15320" w:rsidRDefault="00E15320" w:rsidP="00E15320">
      <w:pPr>
        <w:jc w:val="both"/>
      </w:pPr>
      <w:r>
        <w:t>6. Recomendación sobre la resolución a adoptar para concluir el procedimiento.</w:t>
      </w:r>
    </w:p>
    <w:p w:rsidR="00E15320" w:rsidRDefault="000D050A" w:rsidP="000D050A">
      <w:pPr>
        <w:jc w:val="both"/>
      </w:pPr>
      <w:r>
        <w:t xml:space="preserve">ARTÍCULO 28 - </w:t>
      </w:r>
      <w:r w:rsidRPr="001B44D0">
        <w:t>Disposición 62 - E/2016</w:t>
      </w:r>
      <w:r>
        <w:t xml:space="preserve">.- </w:t>
      </w:r>
      <w:r w:rsidRPr="00710D8A">
        <w:rPr>
          <w:b/>
        </w:rPr>
        <w:t>COMUNICACIÓN DEL DICTAMEN DE EVALUACIÓN</w:t>
      </w:r>
      <w:r>
        <w:t>. Una vez emitido, el dictamende evaluación deberá ser remitido por la Comisión Evaluadora a la respectiva Unidad Operativa</w:t>
      </w:r>
    </w:p>
    <w:p w:rsidR="00AA40A6" w:rsidRDefault="00AA40A6" w:rsidP="00AA40A6">
      <w:pPr>
        <w:spacing w:line="240" w:lineRule="auto"/>
        <w:contextualSpacing/>
        <w:jc w:val="both"/>
      </w:pPr>
    </w:p>
    <w:p w:rsidR="00AA40A6" w:rsidRDefault="00AA40A6" w:rsidP="00AA40A6">
      <w:pPr>
        <w:spacing w:line="240" w:lineRule="auto"/>
        <w:contextualSpacing/>
        <w:jc w:val="both"/>
      </w:pPr>
      <w:r>
        <w:t xml:space="preserve">ARTÍCULO 62.- …Cuando se tratare de contrataciones para cuya </w:t>
      </w:r>
      <w:r w:rsidRPr="00AA40A6">
        <w:rPr>
          <w:b/>
        </w:rPr>
        <w:t>apreciación</w:t>
      </w:r>
      <w:r>
        <w:t xml:space="preserve"> se requieran conocimientos técnicos o especializados o bien para garantizar la correcta apreciación de criterios de sustentabilidad, las Comisiones Evaluadoras podrán requerir la intervención de peritos técnicos o solicitar informes a instituciones estatales o privadas con tales conocimientos específicos.</w:t>
      </w:r>
    </w:p>
    <w:p w:rsidR="00AA40A6" w:rsidRDefault="00AA40A6" w:rsidP="00AA40A6">
      <w:pPr>
        <w:spacing w:line="240" w:lineRule="auto"/>
        <w:contextualSpacing/>
        <w:jc w:val="both"/>
      </w:pPr>
    </w:p>
    <w:p w:rsidR="00AA40A6" w:rsidRDefault="00AA40A6" w:rsidP="00AA40A6">
      <w:pPr>
        <w:spacing w:line="240" w:lineRule="auto"/>
        <w:contextualSpacing/>
        <w:jc w:val="both"/>
      </w:pPr>
    </w:p>
    <w:p w:rsidR="00E96409" w:rsidRDefault="00E96409" w:rsidP="00E96409">
      <w:pPr>
        <w:spacing w:line="240" w:lineRule="auto"/>
        <w:contextualSpacing/>
        <w:jc w:val="both"/>
      </w:pPr>
      <w:r>
        <w:t>ARTÍCULO 66.- CAUSALES DE DESESTIMACIÓN NO SUBSANABLES. Será desestimada la oferta, sin posibilidad de subsanación, en los siguientes supuestos</w:t>
      </w:r>
    </w:p>
    <w:p w:rsidR="00E96409" w:rsidRDefault="00E96409" w:rsidP="00E96409">
      <w:pPr>
        <w:spacing w:line="240" w:lineRule="auto"/>
        <w:contextualSpacing/>
        <w:jc w:val="both"/>
      </w:pPr>
    </w:p>
    <w:p w:rsidR="00E96409" w:rsidRDefault="00E96409" w:rsidP="00E96409">
      <w:pPr>
        <w:spacing w:line="240" w:lineRule="auto"/>
        <w:contextualSpacing/>
        <w:jc w:val="both"/>
      </w:pPr>
      <w:r>
        <w:t xml:space="preserve">a) Si fuera formulada por personas humanas y/o jurídicas que no estuvieran incorporadas en el </w:t>
      </w:r>
      <w:r w:rsidRPr="00E96409">
        <w:rPr>
          <w:b/>
        </w:rPr>
        <w:t>Sistema de Información de Proveedores</w:t>
      </w:r>
      <w:r>
        <w:t xml:space="preserve"> a la fecha de comienzo del período de evaluación de las ofertas, o a la fecha de adjudicación en los casos que no se emita el dictamen de evaluación.</w:t>
      </w:r>
    </w:p>
    <w:p w:rsidR="00E96409" w:rsidRDefault="00E96409" w:rsidP="00E96409">
      <w:pPr>
        <w:spacing w:line="240" w:lineRule="auto"/>
        <w:contextualSpacing/>
        <w:jc w:val="both"/>
      </w:pPr>
    </w:p>
    <w:p w:rsidR="00E96409" w:rsidRDefault="00E96409" w:rsidP="00E96409">
      <w:pPr>
        <w:spacing w:line="240" w:lineRule="auto"/>
        <w:contextualSpacing/>
        <w:jc w:val="both"/>
      </w:pPr>
      <w:r>
        <w:lastRenderedPageBreak/>
        <w:t xml:space="preserve">b) Si fuere formulada por personas humanas o jurídicas no habilitadas para contratar con la ADMINISTRACIÓN NACIONAL de acuerdo a lo prescripto en el artículo 28 </w:t>
      </w:r>
      <w:r w:rsidR="000A12A7">
        <w:rPr>
          <w:rStyle w:val="Refdenotaalfinal"/>
        </w:rPr>
        <w:endnoteReference w:id="1"/>
      </w:r>
      <w:r>
        <w:t>del Decreto Delegado N° 1.023/01 y sus modificatorios y complementarios, al momento de la apertura de las ofertas o en la etapa de evaluación de aquellas o en la adjudicación.</w:t>
      </w:r>
    </w:p>
    <w:p w:rsidR="00E96409" w:rsidRDefault="00E96409" w:rsidP="00E96409">
      <w:pPr>
        <w:spacing w:line="240" w:lineRule="auto"/>
        <w:contextualSpacing/>
        <w:jc w:val="both"/>
      </w:pPr>
    </w:p>
    <w:p w:rsidR="00E96409" w:rsidRDefault="00E96409" w:rsidP="00E96409">
      <w:pPr>
        <w:spacing w:line="240" w:lineRule="auto"/>
        <w:contextualSpacing/>
        <w:jc w:val="both"/>
      </w:pPr>
      <w:r>
        <w:t>c) Si el oferente fuera inelegible de conformidad con lo establecido en el artículo 68 del presente reglamento.</w:t>
      </w:r>
    </w:p>
    <w:p w:rsidR="00E96409" w:rsidRDefault="00E96409" w:rsidP="00E96409">
      <w:pPr>
        <w:spacing w:line="240" w:lineRule="auto"/>
        <w:contextualSpacing/>
        <w:jc w:val="both"/>
      </w:pPr>
    </w:p>
    <w:p w:rsidR="00E96409" w:rsidRDefault="00E96409" w:rsidP="00E96409">
      <w:pPr>
        <w:spacing w:line="240" w:lineRule="auto"/>
        <w:contextualSpacing/>
        <w:jc w:val="both"/>
      </w:pPr>
      <w:r>
        <w:t>d) Si las muestras no fueran acompañadas en el plazo fijado.</w:t>
      </w:r>
    </w:p>
    <w:p w:rsidR="00E96409" w:rsidRDefault="00E96409" w:rsidP="00E96409">
      <w:pPr>
        <w:spacing w:line="240" w:lineRule="auto"/>
        <w:contextualSpacing/>
        <w:jc w:val="both"/>
      </w:pPr>
    </w:p>
    <w:p w:rsidR="00E96409" w:rsidRDefault="00E96409" w:rsidP="00E96409">
      <w:pPr>
        <w:spacing w:line="240" w:lineRule="auto"/>
        <w:contextualSpacing/>
        <w:jc w:val="both"/>
      </w:pPr>
      <w:r>
        <w:t>e) Si el precio cotizado mereciera la calificación de vil o no serio.</w:t>
      </w:r>
    </w:p>
    <w:p w:rsidR="00E96409" w:rsidRDefault="00E96409" w:rsidP="00E96409">
      <w:pPr>
        <w:spacing w:line="240" w:lineRule="auto"/>
        <w:contextualSpacing/>
        <w:jc w:val="both"/>
      </w:pPr>
    </w:p>
    <w:p w:rsidR="00E96409" w:rsidRDefault="00E96409" w:rsidP="00E96409">
      <w:pPr>
        <w:spacing w:line="240" w:lineRule="auto"/>
        <w:contextualSpacing/>
        <w:jc w:val="both"/>
      </w:pPr>
      <w:r>
        <w:t>f) Si tuviere tachaduras, raspaduras, enmiendas o interlíneas sin salvar en las hojas que contengan la propuesta económica, la descripción del bien o servicio ofrecido, plazo de entrega, o alguna otra parte que hiciere a la esencia del contrato.</w:t>
      </w:r>
    </w:p>
    <w:p w:rsidR="00E96409" w:rsidRDefault="00E96409" w:rsidP="00E96409">
      <w:pPr>
        <w:spacing w:line="240" w:lineRule="auto"/>
        <w:contextualSpacing/>
        <w:jc w:val="both"/>
      </w:pPr>
    </w:p>
    <w:p w:rsidR="00E96409" w:rsidRDefault="00E96409" w:rsidP="00E96409">
      <w:pPr>
        <w:spacing w:line="240" w:lineRule="auto"/>
        <w:contextualSpacing/>
        <w:jc w:val="both"/>
      </w:pPr>
      <w:r>
        <w:t>g) Si estuviera escrita con lápiz o con un medio que permita el borrado y reescritura sin dejar rastros.</w:t>
      </w:r>
    </w:p>
    <w:p w:rsidR="00E96409" w:rsidRDefault="00E96409" w:rsidP="00E96409">
      <w:pPr>
        <w:spacing w:line="240" w:lineRule="auto"/>
        <w:contextualSpacing/>
        <w:jc w:val="both"/>
      </w:pPr>
    </w:p>
    <w:p w:rsidR="00E96409" w:rsidRDefault="00E96409" w:rsidP="00E96409">
      <w:pPr>
        <w:spacing w:line="240" w:lineRule="auto"/>
        <w:contextualSpacing/>
        <w:jc w:val="both"/>
      </w:pPr>
      <w:r>
        <w:t>h) Si contuviera condicionamientos.</w:t>
      </w:r>
    </w:p>
    <w:p w:rsidR="00E96409" w:rsidRDefault="00E96409" w:rsidP="00E96409">
      <w:pPr>
        <w:spacing w:line="240" w:lineRule="auto"/>
        <w:contextualSpacing/>
        <w:jc w:val="both"/>
      </w:pPr>
    </w:p>
    <w:p w:rsidR="00E96409" w:rsidRDefault="00E96409" w:rsidP="00E96409">
      <w:pPr>
        <w:spacing w:line="240" w:lineRule="auto"/>
        <w:contextualSpacing/>
        <w:jc w:val="both"/>
      </w:pPr>
      <w:r>
        <w:t>i) Si contuviera cláusulas en contraposición con las normas que rigen la contratación o que impidieran la exacta comparación con las demás ofertas.</w:t>
      </w:r>
    </w:p>
    <w:p w:rsidR="00E96409" w:rsidRDefault="00E96409" w:rsidP="00E96409">
      <w:pPr>
        <w:spacing w:line="240" w:lineRule="auto"/>
        <w:contextualSpacing/>
        <w:jc w:val="both"/>
      </w:pPr>
    </w:p>
    <w:p w:rsidR="00E96409" w:rsidRDefault="00E96409" w:rsidP="00E96409">
      <w:pPr>
        <w:spacing w:line="240" w:lineRule="auto"/>
        <w:contextualSpacing/>
        <w:jc w:val="both"/>
      </w:pPr>
      <w:r>
        <w:t>j) Cuando contuviera errores u omisiones esenciales.</w:t>
      </w:r>
    </w:p>
    <w:p w:rsidR="00E96409" w:rsidRDefault="00E96409" w:rsidP="00E96409">
      <w:pPr>
        <w:spacing w:line="240" w:lineRule="auto"/>
        <w:contextualSpacing/>
        <w:jc w:val="both"/>
      </w:pPr>
    </w:p>
    <w:p w:rsidR="00E96409" w:rsidRDefault="00E96409" w:rsidP="00E96409">
      <w:pPr>
        <w:spacing w:line="240" w:lineRule="auto"/>
        <w:contextualSpacing/>
        <w:jc w:val="both"/>
      </w:pPr>
      <w:r>
        <w:t>k) Si no se acompañare la garantía de mantenimiento de oferta o la constancia de haberla constituido.</w:t>
      </w:r>
    </w:p>
    <w:p w:rsidR="00E96409" w:rsidRDefault="00E96409" w:rsidP="00E96409">
      <w:pPr>
        <w:spacing w:line="240" w:lineRule="auto"/>
        <w:contextualSpacing/>
        <w:jc w:val="both"/>
      </w:pPr>
    </w:p>
    <w:p w:rsidR="00E96409" w:rsidRDefault="00E96409" w:rsidP="00E96409">
      <w:pPr>
        <w:spacing w:line="240" w:lineRule="auto"/>
        <w:contextualSpacing/>
        <w:jc w:val="both"/>
      </w:pPr>
      <w:r>
        <w:t>En los pliegos de bases y condiciones particulares no se podrán prever otras causales de desestimación no subsanables de ofertas.</w:t>
      </w:r>
    </w:p>
    <w:p w:rsidR="00E96409" w:rsidRDefault="00E96409" w:rsidP="00E96409">
      <w:pPr>
        <w:spacing w:line="240" w:lineRule="auto"/>
        <w:contextualSpacing/>
        <w:jc w:val="both"/>
      </w:pPr>
    </w:p>
    <w:p w:rsidR="00E96409" w:rsidRDefault="00E96409" w:rsidP="00E96409">
      <w:pPr>
        <w:spacing w:line="240" w:lineRule="auto"/>
        <w:contextualSpacing/>
        <w:jc w:val="both"/>
      </w:pPr>
      <w:r>
        <w:t>ARTÍCULO 67.- CAUSALES DE DESESTIMACIÓN SUBSANABLES. Cuando proceda la posibilidad de 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 calidad.</w:t>
      </w:r>
    </w:p>
    <w:p w:rsidR="00E96409" w:rsidRDefault="00E96409" w:rsidP="00E96409">
      <w:pPr>
        <w:spacing w:line="240" w:lineRule="auto"/>
        <w:contextualSpacing/>
        <w:jc w:val="both"/>
      </w:pPr>
    </w:p>
    <w:p w:rsidR="00E96409" w:rsidRDefault="00E96409" w:rsidP="00E96409">
      <w:pPr>
        <w:spacing w:line="240" w:lineRule="auto"/>
        <w:contextualSpacing/>
        <w:jc w:val="both"/>
      </w:pPr>
      <w:r>
        <w:t>La subsanación de deficiencias se posibilitará en toda cuestión relacionada con la constatación de datos o información de tipo histórico obrante en bases de datos de organismos públicos, o que no afecten el principio de igualdad de tratamiento para interesados y oferentes.</w:t>
      </w:r>
    </w:p>
    <w:p w:rsidR="00E96409" w:rsidRDefault="00E96409" w:rsidP="00E96409">
      <w:pPr>
        <w:spacing w:line="240" w:lineRule="auto"/>
        <w:contextualSpacing/>
        <w:jc w:val="both"/>
      </w:pPr>
    </w:p>
    <w:p w:rsidR="009976B7" w:rsidRDefault="009976B7" w:rsidP="00E96409">
      <w:pPr>
        <w:spacing w:line="240" w:lineRule="auto"/>
        <w:contextualSpacing/>
        <w:jc w:val="both"/>
      </w:pPr>
    </w:p>
    <w:p w:rsidR="00E96409" w:rsidRDefault="00E96409" w:rsidP="00E96409">
      <w:pPr>
        <w:spacing w:line="240" w:lineRule="auto"/>
        <w:contextualSpacing/>
        <w:jc w:val="both"/>
      </w:pPr>
      <w:r>
        <w:lastRenderedPageBreak/>
        <w:t>En estos casos las Comisiones Evaluadoras, por sí o a través de la unidad operativa de contrataciones deberán intimar al oferente a que subsane los errores u omisiones dentro del término de TRES (3) días, como mínimo, salvo que en el pliego de bases y condiciones particulares se fijara un plazo mayor.</w:t>
      </w:r>
    </w:p>
    <w:p w:rsidR="00E96409" w:rsidRDefault="00E96409" w:rsidP="00E96409">
      <w:pPr>
        <w:spacing w:line="240" w:lineRule="auto"/>
        <w:contextualSpacing/>
        <w:jc w:val="both"/>
      </w:pPr>
    </w:p>
    <w:p w:rsidR="00E96409" w:rsidRDefault="00E96409" w:rsidP="00E96409">
      <w:pPr>
        <w:spacing w:line="240" w:lineRule="auto"/>
        <w:contextualSpacing/>
        <w:jc w:val="both"/>
      </w:pPr>
      <w:r>
        <w:t>La corrección de errores u omisiones no podrá ser utilizada por el oferente para alterar la sustancia de la oferta o para mejorarla o para tomar ventaja respecto de los demás oferentes.</w:t>
      </w:r>
    </w:p>
    <w:p w:rsidR="00E96409" w:rsidRDefault="00E96409" w:rsidP="00E96409">
      <w:pPr>
        <w:spacing w:line="240" w:lineRule="auto"/>
        <w:contextualSpacing/>
        <w:jc w:val="both"/>
      </w:pPr>
    </w:p>
    <w:p w:rsidR="00E96409" w:rsidRDefault="00E96409" w:rsidP="00E96409">
      <w:pPr>
        <w:spacing w:line="240" w:lineRule="auto"/>
        <w:contextualSpacing/>
        <w:jc w:val="both"/>
      </w:pPr>
      <w:r>
        <w:t>ARTÍCULO 68.- PAUTAS PARA LA INELEGIBILIDAD. Deberá desestimarse la oferta, cuando de la información a la que se refiere el artículo 16 del Decreto Delegado N° 1.023/01 y sus modificatorios y complementarios, o de otras fuentes, se configure, entre otros, alguno de los siguientes supuestos:</w:t>
      </w:r>
    </w:p>
    <w:p w:rsidR="00E96409" w:rsidRDefault="00E96409" w:rsidP="00E96409">
      <w:pPr>
        <w:spacing w:line="240" w:lineRule="auto"/>
        <w:contextualSpacing/>
        <w:jc w:val="both"/>
      </w:pPr>
    </w:p>
    <w:p w:rsidR="00E96409" w:rsidRDefault="00E96409" w:rsidP="00E96409">
      <w:pPr>
        <w:spacing w:line="240" w:lineRule="auto"/>
        <w:contextualSpacing/>
        <w:jc w:val="both"/>
      </w:pPr>
      <w:r>
        <w:t>a) Pueda presumirse que el oferente es una continuación, transformación, fusión o escisión de otras empresas no habilitadas para contratar con la ADMINISTRACIÓN NACIONAL, de acuerdo a lo prescripto por el artículo 28 del Decreto Delegado N° 1.023/01 y sus modificatorios y complementarios, y de las controladas o controlantes de aquellas.</w:t>
      </w:r>
    </w:p>
    <w:p w:rsidR="00E96409" w:rsidRDefault="00E96409" w:rsidP="00E96409">
      <w:pPr>
        <w:spacing w:line="240" w:lineRule="auto"/>
        <w:contextualSpacing/>
        <w:jc w:val="both"/>
      </w:pPr>
    </w:p>
    <w:p w:rsidR="00E96409" w:rsidRDefault="00E96409" w:rsidP="00E96409">
      <w:pPr>
        <w:spacing w:line="240" w:lineRule="auto"/>
        <w:contextualSpacing/>
        <w:jc w:val="both"/>
      </w:pPr>
      <w:r>
        <w:t>b) Se trate de integrantes de empresas no habilitadas para contratar con la ADMINISTRACIÓN NACIONAL, de acuerdo a lo prescripto por el artículo 28 del Decreto Delegado N° 1.023/01 y sus modificatorios y complementarios.</w:t>
      </w:r>
    </w:p>
    <w:p w:rsidR="00E96409" w:rsidRDefault="00E96409" w:rsidP="00E96409">
      <w:pPr>
        <w:spacing w:line="240" w:lineRule="auto"/>
        <w:contextualSpacing/>
        <w:jc w:val="both"/>
      </w:pPr>
    </w:p>
    <w:p w:rsidR="00E96409" w:rsidRDefault="00E96409" w:rsidP="00E96409">
      <w:pPr>
        <w:spacing w:line="240" w:lineRule="auto"/>
        <w:contextualSpacing/>
        <w:jc w:val="both"/>
      </w:pPr>
      <w:r>
        <w:t>c) Cuando existan indicios que por su precisión y concordancia hicieran presumir que los oferentes han concertado o coordinado posturas en el procedimiento de selección. Se entenderá configurada esta causal de inelegibilidad, entre otros supuestos, en ofertas presentadas por cónyuges, convivientes o parientes de primer grado en línea recta ya sea por naturaleza, por técnicas de reproducción humana asistida o adopción, salvo que se pruebe lo contrario.</w:t>
      </w:r>
    </w:p>
    <w:p w:rsidR="00E96409" w:rsidRDefault="00E96409" w:rsidP="00E96409">
      <w:pPr>
        <w:spacing w:line="240" w:lineRule="auto"/>
        <w:contextualSpacing/>
        <w:jc w:val="both"/>
      </w:pPr>
    </w:p>
    <w:p w:rsidR="00E96409" w:rsidRDefault="00E96409" w:rsidP="00E96409">
      <w:pPr>
        <w:spacing w:line="240" w:lineRule="auto"/>
        <w:contextualSpacing/>
        <w:jc w:val="both"/>
      </w:pPr>
      <w:r>
        <w:t>d) 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w:t>
      </w:r>
    </w:p>
    <w:p w:rsidR="00E96409" w:rsidRDefault="00E96409" w:rsidP="00E96409">
      <w:pPr>
        <w:spacing w:line="240" w:lineRule="auto"/>
        <w:contextualSpacing/>
        <w:jc w:val="both"/>
      </w:pPr>
    </w:p>
    <w:p w:rsidR="00E96409" w:rsidRDefault="00E96409" w:rsidP="00E96409">
      <w:pPr>
        <w:spacing w:line="240" w:lineRule="auto"/>
        <w:contextualSpacing/>
        <w:jc w:val="both"/>
      </w:pPr>
      <w:r>
        <w:t>e) Cuando existan indicios que por su precisión y concordancia hicieran presumir que media en el caso una simulación tendiente a eludir los efectos de las causales de inhabilidad para contratar con la ADMINISTRACIÓN NACIONAL, de acuerdo a lo prescripto por el artículo 28 del Decreto Delegado N° 1.023/01 y sus modificatorios y complementarios.</w:t>
      </w:r>
    </w:p>
    <w:p w:rsidR="00E96409" w:rsidRDefault="00E96409" w:rsidP="00E96409">
      <w:pPr>
        <w:spacing w:line="240" w:lineRule="auto"/>
        <w:contextualSpacing/>
        <w:jc w:val="both"/>
      </w:pPr>
    </w:p>
    <w:p w:rsidR="00E96409" w:rsidRDefault="00E96409" w:rsidP="00E96409">
      <w:pPr>
        <w:spacing w:line="240" w:lineRule="auto"/>
        <w:contextualSpacing/>
        <w:jc w:val="both"/>
      </w:pPr>
      <w:r>
        <w:t>f) 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p>
    <w:p w:rsidR="00E96409" w:rsidRDefault="00E96409" w:rsidP="00E96409">
      <w:pPr>
        <w:spacing w:line="240" w:lineRule="auto"/>
        <w:contextualSpacing/>
        <w:jc w:val="both"/>
      </w:pPr>
    </w:p>
    <w:p w:rsidR="00E96409" w:rsidRDefault="00E96409" w:rsidP="00E96409">
      <w:pPr>
        <w:spacing w:line="240" w:lineRule="auto"/>
        <w:contextualSpacing/>
        <w:jc w:val="both"/>
      </w:pPr>
      <w:r>
        <w:t>g) Cuando exhiban incumplimientos en anteriores contratos, de acuerdo a lo que se disponga en los respectivos pliegos de bases y condiciones particulares.</w:t>
      </w:r>
    </w:p>
    <w:p w:rsidR="00E96409" w:rsidRDefault="00E96409" w:rsidP="00E96409">
      <w:pPr>
        <w:spacing w:line="240" w:lineRule="auto"/>
        <w:contextualSpacing/>
        <w:jc w:val="both"/>
      </w:pPr>
    </w:p>
    <w:p w:rsidR="00E96409" w:rsidRDefault="00E96409" w:rsidP="00E96409">
      <w:pPr>
        <w:spacing w:line="240" w:lineRule="auto"/>
        <w:contextualSpacing/>
        <w:jc w:val="both"/>
      </w:pPr>
      <w:r>
        <w:t>h) Cuando se trate de personas jurídicas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w:t>
      </w:r>
    </w:p>
    <w:p w:rsidR="00E96409" w:rsidRDefault="00E96409" w:rsidP="00E96409">
      <w:pPr>
        <w:spacing w:line="240" w:lineRule="auto"/>
        <w:contextualSpacing/>
        <w:jc w:val="both"/>
      </w:pPr>
    </w:p>
    <w:p w:rsidR="00E96409" w:rsidRDefault="00E96409" w:rsidP="00E96409">
      <w:pPr>
        <w:spacing w:line="240" w:lineRule="auto"/>
        <w:contextualSpacing/>
        <w:jc w:val="both"/>
      </w:pPr>
      <w:r>
        <w:t>i) 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 condición.</w:t>
      </w:r>
    </w:p>
    <w:p w:rsidR="00E96409" w:rsidRDefault="00E96409" w:rsidP="00E96409">
      <w:pPr>
        <w:spacing w:line="240" w:lineRule="auto"/>
        <w:contextualSpacing/>
        <w:jc w:val="both"/>
      </w:pPr>
    </w:p>
    <w:p w:rsidR="00E96409" w:rsidRDefault="00E96409" w:rsidP="00E96409">
      <w:pPr>
        <w:spacing w:line="240" w:lineRule="auto"/>
        <w:contextualSpacing/>
        <w:jc w:val="both"/>
      </w:pPr>
      <w:r>
        <w:t>ARTÍCULO 69.- PRECIO VIL O PRECIO NO SERIO. La Comisión Evaluadora, o la Unidad Operativa de Contrataciones en los procedimientos donde no sea obligatorio la emisión del dictamen de evaluación, podrá solicitar informes técnicos cuando presuma fundadamente que la propuesta no podrá ser cumplida en la forma debida por tratarse de precios excesivamente bajos de acuerdo con los criterios objetivos que surjan de los precios de mercado y de la evaluación de la capacidad del oferente.</w:t>
      </w:r>
    </w:p>
    <w:p w:rsidR="00E96409" w:rsidRDefault="00E96409" w:rsidP="00E96409">
      <w:pPr>
        <w:spacing w:line="240" w:lineRule="auto"/>
        <w:contextualSpacing/>
        <w:jc w:val="both"/>
      </w:pPr>
    </w:p>
    <w:p w:rsidR="00E96409" w:rsidRDefault="00E96409" w:rsidP="00E96409">
      <w:pPr>
        <w:spacing w:line="240" w:lineRule="auto"/>
        <w:contextualSpacing/>
        <w:jc w:val="both"/>
      </w:pPr>
      <w:r>
        <w:t>Cuando de los informes técnicos surja que la oferta no podrá ser cumplida, corresponderá la desestimación de la oferta en los renglones pertinentes.</w:t>
      </w:r>
    </w:p>
    <w:p w:rsidR="00E96409" w:rsidRDefault="00E96409" w:rsidP="00E96409">
      <w:pPr>
        <w:spacing w:line="240" w:lineRule="auto"/>
        <w:contextualSpacing/>
        <w:jc w:val="both"/>
      </w:pPr>
    </w:p>
    <w:p w:rsidR="00E96409" w:rsidRDefault="00E96409" w:rsidP="00E96409">
      <w:pPr>
        <w:spacing w:line="240" w:lineRule="auto"/>
        <w:contextualSpacing/>
        <w:jc w:val="both"/>
      </w:pPr>
      <w:r>
        <w:t>A tales fines se podrá solicitar a los oferentes precisiones sobre la composición de su oferta que no impliquen la alteración de la misma.</w:t>
      </w:r>
    </w:p>
    <w:p w:rsidR="00E96409" w:rsidRDefault="00E96409" w:rsidP="00E96409">
      <w:pPr>
        <w:spacing w:line="240" w:lineRule="auto"/>
        <w:contextualSpacing/>
        <w:jc w:val="both"/>
      </w:pPr>
    </w:p>
    <w:sectPr w:rsidR="00E96409" w:rsidSect="00710D8A">
      <w:headerReference w:type="default" r:id="rId11"/>
      <w:footerReference w:type="default" r:id="rId1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BC" w:rsidRDefault="00EE68BC" w:rsidP="000A12A7">
      <w:pPr>
        <w:spacing w:after="0" w:line="240" w:lineRule="auto"/>
      </w:pPr>
      <w:r>
        <w:separator/>
      </w:r>
    </w:p>
  </w:endnote>
  <w:endnote w:type="continuationSeparator" w:id="0">
    <w:p w:rsidR="00EE68BC" w:rsidRDefault="00EE68BC" w:rsidP="000A12A7">
      <w:pPr>
        <w:spacing w:after="0" w:line="240" w:lineRule="auto"/>
      </w:pPr>
      <w:r>
        <w:continuationSeparator/>
      </w:r>
    </w:p>
  </w:endnote>
  <w:endnote w:id="1">
    <w:p w:rsidR="000A12A7" w:rsidRDefault="000A12A7" w:rsidP="000A12A7">
      <w:pPr>
        <w:pStyle w:val="Textonotaalfinal"/>
        <w:jc w:val="both"/>
      </w:pPr>
      <w:r>
        <w:rPr>
          <w:rStyle w:val="Refdenotaalfinal"/>
        </w:rPr>
        <w:endnoteRef/>
      </w:r>
      <w:r>
        <w:t xml:space="preserve"> Art. 28. — PERSONAS NO HABILITADAS. No podrán contratar con la Administración Nacional:</w:t>
      </w:r>
    </w:p>
    <w:p w:rsidR="000A12A7" w:rsidRDefault="000A12A7" w:rsidP="000A12A7">
      <w:pPr>
        <w:pStyle w:val="Textonotaalfinal"/>
        <w:jc w:val="both"/>
      </w:pPr>
      <w:r>
        <w:t>a) Las personas físicas o jurídicas que se encontraren sancionadas con Suspensión o Inhabilitación (apartados 2. y 3. del inciso b) del artículo 29 – Dec. 1023/01)</w:t>
      </w:r>
    </w:p>
    <w:p w:rsidR="000A12A7" w:rsidRDefault="000A12A7" w:rsidP="000A12A7">
      <w:pPr>
        <w:pStyle w:val="Textonotaalfinal"/>
        <w:jc w:val="both"/>
      </w:pPr>
      <w:r>
        <w:t>b) Los agentes y funcionarios del Sector Público Nacional y las empresas en las cuales aquéllos tuvieren una participación suficiente para formar la voluntad social, de conformidad con lo establecido en la Ley de Etica Pública, N° 25.188.</w:t>
      </w:r>
    </w:p>
    <w:p w:rsidR="000A12A7" w:rsidRDefault="000A12A7" w:rsidP="000A12A7">
      <w:pPr>
        <w:pStyle w:val="Textonotaalfinal"/>
        <w:jc w:val="both"/>
      </w:pPr>
      <w:r>
        <w:t>d) Los condenados por delitos dolosos, por un lapso igual al doble de la condena.</w:t>
      </w:r>
    </w:p>
    <w:p w:rsidR="000A12A7" w:rsidRDefault="000A12A7" w:rsidP="000A12A7">
      <w:pPr>
        <w:pStyle w:val="Textonotaalfinal"/>
        <w:jc w:val="both"/>
      </w:pPr>
      <w:r>
        <w:t>e) Las personas que se encontraren procesadas por delitos contra la propiedad, o contra la Administración Pública Nacional, o contra la fe pública o por delitos comprendidos en la Convención Interamericana contra la Corrupción.</w:t>
      </w:r>
    </w:p>
    <w:p w:rsidR="000A12A7" w:rsidRDefault="000A12A7" w:rsidP="000A12A7">
      <w:pPr>
        <w:pStyle w:val="Textonotaalfinal"/>
        <w:jc w:val="both"/>
      </w:pPr>
      <w:r>
        <w:t>f) Las personas físicas o jurídicas que no hubieran cumplido con sus obligaciones tributarias y previsionales, de acuerdo con lo que establezca la reglamentación.</w:t>
      </w:r>
    </w:p>
    <w:p w:rsidR="000A12A7" w:rsidRDefault="000A12A7" w:rsidP="000A12A7">
      <w:pPr>
        <w:pStyle w:val="Textonotaalfinal"/>
        <w:jc w:val="both"/>
      </w:pPr>
      <w:r>
        <w:t>g) Las personas físicas o jurídicas que no hubieren cumplido en tiempo oportuno con las exigencias establecidas por el último párrafo del artículo 8° de la Ley N° 24.156.</w:t>
      </w:r>
    </w:p>
    <w:p w:rsidR="000A12A7" w:rsidRDefault="000A12A7" w:rsidP="000A12A7">
      <w:pPr>
        <w:pStyle w:val="Textonotaalfinal"/>
        <w:jc w:val="both"/>
      </w:pPr>
      <w:r>
        <w:t>h) Los empleadores incluidos en el Registro Público de Empleadores con Sanciones Laborales (</w:t>
      </w:r>
      <w:hyperlink r:id="rId1" w:history="1">
        <w:r w:rsidRPr="00710D8A">
          <w:rPr>
            <w:rStyle w:val="Hipervnculo"/>
          </w:rPr>
          <w:t>REPSA</w:t>
        </w:r>
      </w:hyperlink>
      <w:r>
        <w:t xml:space="preserve">L) durante el tiempo que permanezcan en dicho </w:t>
      </w:r>
      <w:proofErr w:type="gramStart"/>
      <w:r>
        <w:t>registro</w:t>
      </w:r>
      <w:proofErr w:type="gramEnd"/>
      <w:r>
        <w:t>. (Inciso incorporado por art. 44 de la Ley N° 26.940 B.O. 2/6/2014)</w:t>
      </w:r>
    </w:p>
    <w:p w:rsidR="00044E03" w:rsidRDefault="00044E03" w:rsidP="000A12A7">
      <w:pPr>
        <w:pStyle w:val="Textonotaalfinal"/>
        <w:jc w:val="both"/>
      </w:pPr>
    </w:p>
    <w:p w:rsidR="00044E03" w:rsidRDefault="00044E03" w:rsidP="000A12A7">
      <w:pPr>
        <w:pStyle w:val="Textonotaalfinal"/>
        <w:jc w:val="both"/>
      </w:pPr>
    </w:p>
    <w:p w:rsidR="00044E03" w:rsidRPr="000A12A7" w:rsidRDefault="00044E03" w:rsidP="000A12A7">
      <w:pPr>
        <w:pStyle w:val="Textonotaalfinal"/>
        <w:jc w:val="both"/>
        <w:rPr>
          <w:lang w:val="es-ES"/>
        </w:rPr>
      </w:pPr>
      <w:hyperlink r:id="rId2" w:history="1">
        <w:r w:rsidRPr="00044E03">
          <w:rPr>
            <w:rStyle w:val="Hipervnculo"/>
          </w:rPr>
          <w:t>Dictamenes de otros organismos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73819"/>
      <w:docPartObj>
        <w:docPartGallery w:val="Page Numbers (Bottom of Page)"/>
        <w:docPartUnique/>
      </w:docPartObj>
    </w:sdtPr>
    <w:sdtEndPr/>
    <w:sdtContent>
      <w:p w:rsidR="004A27E2" w:rsidRDefault="004A27E2">
        <w:pPr>
          <w:pStyle w:val="Piedepgina"/>
          <w:jc w:val="right"/>
        </w:pPr>
        <w:r>
          <w:fldChar w:fldCharType="begin"/>
        </w:r>
        <w:r>
          <w:instrText>PAGE   \* MERGEFORMAT</w:instrText>
        </w:r>
        <w:r>
          <w:fldChar w:fldCharType="separate"/>
        </w:r>
        <w:r w:rsidR="00BE2A4C" w:rsidRPr="00BE2A4C">
          <w:rPr>
            <w:noProof/>
            <w:lang w:val="es-ES"/>
          </w:rPr>
          <w:t>6</w:t>
        </w:r>
        <w:r>
          <w:fldChar w:fldCharType="end"/>
        </w:r>
      </w:p>
    </w:sdtContent>
  </w:sdt>
  <w:p w:rsidR="004A27E2" w:rsidRDefault="004A27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BC" w:rsidRDefault="00EE68BC" w:rsidP="000A12A7">
      <w:pPr>
        <w:spacing w:after="0" w:line="240" w:lineRule="auto"/>
      </w:pPr>
      <w:r>
        <w:separator/>
      </w:r>
    </w:p>
  </w:footnote>
  <w:footnote w:type="continuationSeparator" w:id="0">
    <w:p w:rsidR="00EE68BC" w:rsidRDefault="00EE68BC" w:rsidP="000A1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00402"/>
      <w:docPartObj>
        <w:docPartGallery w:val="Page Numbers (Top of Page)"/>
        <w:docPartUnique/>
      </w:docPartObj>
    </w:sdtPr>
    <w:sdtContent>
      <w:p w:rsidR="00710D8A" w:rsidRDefault="00710D8A" w:rsidP="00710D8A">
        <w:pPr>
          <w:contextualSpacing/>
          <w:rPr>
            <w:rFonts w:ascii="Arial" w:hAnsi="Arial" w:cs="Arial"/>
            <w:color w:val="FFFFFF" w:themeColor="background1"/>
            <w:sz w:val="20"/>
            <w:szCs w:val="20"/>
            <w:shd w:val="clear" w:color="auto" w:fill="FFFFFF"/>
          </w:rPr>
        </w:pPr>
        <w:r>
          <w:t xml:space="preserve">                      </w:t>
        </w:r>
        <w:r w:rsidRPr="00CE0590">
          <w:rPr>
            <w:rFonts w:asciiTheme="majorHAnsi" w:eastAsia="Arial Unicode MS" w:hAnsiTheme="majorHAnsi" w:cstheme="minorHAnsi"/>
            <w:noProof/>
            <w:lang w:eastAsia="es-AR"/>
          </w:rPr>
          <w:drawing>
            <wp:inline distT="0" distB="0" distL="0" distR="0" wp14:anchorId="4AD5DA33" wp14:editId="0920A761">
              <wp:extent cx="446292" cy="790575"/>
              <wp:effectExtent l="19050" t="0" r="0" b="0"/>
              <wp:docPr id="96" name="95 Imagen" descr="logoun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sa1.jpg"/>
                      <pic:cNvPicPr/>
                    </pic:nvPicPr>
                    <pic:blipFill>
                      <a:blip r:embed="rId1" cstate="print"/>
                      <a:stretch>
                        <a:fillRect/>
                      </a:stretch>
                    </pic:blipFill>
                    <pic:spPr>
                      <a:xfrm>
                        <a:off x="0" y="0"/>
                        <a:ext cx="446292" cy="790575"/>
                      </a:xfrm>
                      <a:prstGeom prst="rect">
                        <a:avLst/>
                      </a:prstGeom>
                    </pic:spPr>
                  </pic:pic>
                </a:graphicData>
              </a:graphic>
            </wp:inline>
          </w:drawing>
        </w:r>
        <w:r w:rsidRPr="00CE0590">
          <w:rPr>
            <w:rFonts w:asciiTheme="majorHAnsi" w:eastAsia="Arial Unicode MS" w:hAnsiTheme="majorHAnsi" w:cstheme="minorHAnsi"/>
            <w:noProof/>
          </w:rPr>
          <w:t xml:space="preserve"> </w:t>
        </w:r>
        <w:r>
          <w:rPr>
            <w:rFonts w:ascii="Arial" w:hAnsi="Arial" w:cs="Arial"/>
            <w:color w:val="888888"/>
            <w:sz w:val="20"/>
            <w:szCs w:val="20"/>
            <w:shd w:val="clear" w:color="auto" w:fill="FFFFFF"/>
          </w:rPr>
          <w:t> </w:t>
        </w:r>
        <w:r w:rsidRPr="001932EE">
          <w:rPr>
            <w:rFonts w:ascii="Arial" w:hAnsi="Arial" w:cs="Arial"/>
            <w:color w:val="FFFFFF" w:themeColor="background1"/>
            <w:sz w:val="20"/>
            <w:szCs w:val="20"/>
            <w:shd w:val="clear" w:color="auto" w:fill="FFFFFF"/>
          </w:rPr>
          <w:t>QTSBYNHPGAD</w:t>
        </w:r>
      </w:p>
      <w:p w:rsidR="00710D8A" w:rsidRPr="00710D8A" w:rsidRDefault="00710D8A" w:rsidP="00710D8A">
        <w:pPr>
          <w:contextualSpacing/>
          <w:rPr>
            <w:rFonts w:asciiTheme="majorHAnsi" w:eastAsia="Arial Unicode MS" w:hAnsiTheme="majorHAnsi" w:cstheme="minorHAnsi"/>
            <w:noProof/>
            <w:color w:val="FF0000"/>
          </w:rPr>
        </w:pPr>
        <w:r>
          <w:rPr>
            <w:rFonts w:asciiTheme="majorHAnsi" w:eastAsia="Arial Unicode MS" w:hAnsiTheme="majorHAnsi" w:cstheme="minorHAnsi"/>
            <w:noProof/>
            <w:sz w:val="18"/>
            <w:szCs w:val="18"/>
          </w:rPr>
          <w:t xml:space="preserve">         </w:t>
        </w:r>
        <w:r w:rsidRPr="008E37EE">
          <w:rPr>
            <w:rFonts w:asciiTheme="majorHAnsi" w:eastAsia="Arial Unicode MS" w:hAnsiTheme="majorHAnsi" w:cstheme="minorHAnsi"/>
            <w:noProof/>
            <w:sz w:val="18"/>
            <w:szCs w:val="18"/>
          </w:rPr>
          <w:t>Universidad  Nacional de Salta</w:t>
        </w:r>
      </w:p>
      <w:p w:rsidR="00710D8A" w:rsidRDefault="00710D8A" w:rsidP="00710D8A">
        <w:pPr>
          <w:contextualSpacing/>
          <w:rPr>
            <w:rFonts w:asciiTheme="majorHAnsi" w:eastAsia="Arial Unicode MS" w:hAnsiTheme="majorHAnsi" w:cstheme="minorHAnsi"/>
            <w:noProof/>
            <w:sz w:val="18"/>
            <w:szCs w:val="18"/>
          </w:rPr>
        </w:pPr>
        <w:r>
          <w:rPr>
            <w:rFonts w:asciiTheme="majorHAnsi" w:eastAsia="Arial Unicode MS" w:hAnsiTheme="majorHAnsi" w:cstheme="minorHAnsi"/>
            <w:noProof/>
            <w:sz w:val="18"/>
            <w:szCs w:val="18"/>
          </w:rPr>
          <w:t xml:space="preserve">  </w:t>
        </w:r>
        <w:r>
          <w:rPr>
            <w:rFonts w:asciiTheme="majorHAnsi" w:eastAsia="Arial Unicode MS" w:hAnsiTheme="majorHAnsi" w:cstheme="minorHAnsi"/>
            <w:noProof/>
            <w:sz w:val="18"/>
            <w:szCs w:val="18"/>
          </w:rPr>
          <w:t>Dirección de Contrataciones y Compras</w:t>
        </w:r>
      </w:p>
      <w:p w:rsidR="00710D8A" w:rsidRDefault="00710D8A" w:rsidP="00710D8A">
        <w:pPr>
          <w:contextualSpacing/>
          <w:rPr>
            <w:rFonts w:asciiTheme="majorHAnsi" w:eastAsia="Arial Unicode MS" w:hAnsiTheme="majorHAnsi" w:cstheme="minorHAnsi"/>
            <w:noProof/>
            <w:sz w:val="18"/>
            <w:szCs w:val="18"/>
          </w:rPr>
        </w:pPr>
        <w:r>
          <w:rPr>
            <w:rFonts w:asciiTheme="majorHAnsi" w:eastAsia="Arial Unicode MS" w:hAnsiTheme="majorHAnsi" w:cstheme="minorHAnsi"/>
            <w:noProof/>
            <w:sz w:val="18"/>
            <w:szCs w:val="18"/>
          </w:rPr>
          <w:t xml:space="preserve">          Teléf.  4258689 - 4258690 </w:t>
        </w:r>
      </w:p>
      <w:p w:rsidR="00710D8A" w:rsidRDefault="00710D8A" w:rsidP="00710D8A">
        <w:pPr>
          <w:contextualSpacing/>
        </w:pPr>
        <w:r>
          <w:rPr>
            <w:rFonts w:asciiTheme="majorHAnsi" w:eastAsia="Arial Unicode MS" w:hAnsiTheme="majorHAnsi" w:cstheme="minorHAnsi"/>
            <w:noProof/>
            <w:sz w:val="18"/>
            <w:szCs w:val="18"/>
          </w:rPr>
          <w:t xml:space="preserve">                 </w:t>
        </w:r>
        <w:hyperlink r:id="rId2" w:history="1">
          <w:r w:rsidRPr="008E7EE9">
            <w:rPr>
              <w:rStyle w:val="Hipervnculo"/>
              <w:rFonts w:asciiTheme="majorHAnsi" w:eastAsia="Arial Unicode MS" w:hAnsiTheme="majorHAnsi" w:cstheme="minorHAnsi"/>
              <w:noProof/>
              <w:sz w:val="18"/>
              <w:szCs w:val="18"/>
            </w:rPr>
            <w:t>http://dga.unsa.edu.ar</w:t>
          </w:r>
        </w:hyperlink>
        <w:r>
          <w:rPr>
            <w:rFonts w:asciiTheme="majorHAnsi" w:eastAsia="Arial Unicode MS" w:hAnsiTheme="majorHAnsi" w:cstheme="minorHAnsi"/>
            <w:noProof/>
            <w:sz w:val="18"/>
            <w:szCs w:val="18"/>
          </w:rPr>
          <w:t xml:space="preserve">                                                                                                                                               </w:t>
        </w:r>
        <w:r>
          <w:fldChar w:fldCharType="begin"/>
        </w:r>
        <w:r>
          <w:instrText>PAGE   \* MERGEFORMAT</w:instrText>
        </w:r>
        <w:r>
          <w:fldChar w:fldCharType="separate"/>
        </w:r>
        <w:r w:rsidR="00BE2A4C" w:rsidRPr="00BE2A4C">
          <w:rPr>
            <w:noProof/>
            <w:lang w:val="es-ES"/>
          </w:rPr>
          <w:t>6</w:t>
        </w:r>
        <w:r>
          <w:fldChar w:fldCharType="end"/>
        </w:r>
      </w:p>
    </w:sdtContent>
  </w:sdt>
  <w:p w:rsidR="00710D8A" w:rsidRDefault="00710D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B5"/>
    <w:rsid w:val="00044E03"/>
    <w:rsid w:val="000A12A7"/>
    <w:rsid w:val="000D050A"/>
    <w:rsid w:val="001B44D0"/>
    <w:rsid w:val="004A27E2"/>
    <w:rsid w:val="005920A0"/>
    <w:rsid w:val="00685B4B"/>
    <w:rsid w:val="007008B5"/>
    <w:rsid w:val="00710D8A"/>
    <w:rsid w:val="009976B7"/>
    <w:rsid w:val="00AA40A6"/>
    <w:rsid w:val="00BA6491"/>
    <w:rsid w:val="00BE2A4C"/>
    <w:rsid w:val="00DE6135"/>
    <w:rsid w:val="00E15320"/>
    <w:rsid w:val="00E96409"/>
    <w:rsid w:val="00ED5A4F"/>
    <w:rsid w:val="00EE68BC"/>
    <w:rsid w:val="00F057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0A12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12A7"/>
    <w:rPr>
      <w:sz w:val="20"/>
      <w:szCs w:val="20"/>
    </w:rPr>
  </w:style>
  <w:style w:type="character" w:styleId="Refdenotaalfinal">
    <w:name w:val="endnote reference"/>
    <w:basedOn w:val="Fuentedeprrafopredeter"/>
    <w:uiPriority w:val="99"/>
    <w:semiHidden/>
    <w:unhideWhenUsed/>
    <w:rsid w:val="000A12A7"/>
    <w:rPr>
      <w:vertAlign w:val="superscript"/>
    </w:rPr>
  </w:style>
  <w:style w:type="character" w:styleId="Hipervnculo">
    <w:name w:val="Hyperlink"/>
    <w:basedOn w:val="Fuentedeprrafopredeter"/>
    <w:uiPriority w:val="99"/>
    <w:unhideWhenUsed/>
    <w:rsid w:val="001B44D0"/>
    <w:rPr>
      <w:color w:val="0000FF" w:themeColor="hyperlink"/>
      <w:u w:val="single"/>
    </w:rPr>
  </w:style>
  <w:style w:type="paragraph" w:styleId="Encabezado">
    <w:name w:val="header"/>
    <w:basedOn w:val="Normal"/>
    <w:link w:val="EncabezadoCar"/>
    <w:uiPriority w:val="99"/>
    <w:unhideWhenUsed/>
    <w:rsid w:val="004A27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7E2"/>
  </w:style>
  <w:style w:type="paragraph" w:styleId="Piedepgina">
    <w:name w:val="footer"/>
    <w:basedOn w:val="Normal"/>
    <w:link w:val="PiedepginaCar"/>
    <w:uiPriority w:val="99"/>
    <w:unhideWhenUsed/>
    <w:rsid w:val="004A27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7E2"/>
  </w:style>
  <w:style w:type="paragraph" w:styleId="Textodeglobo">
    <w:name w:val="Balloon Text"/>
    <w:basedOn w:val="Normal"/>
    <w:link w:val="TextodegloboCar"/>
    <w:uiPriority w:val="99"/>
    <w:semiHidden/>
    <w:unhideWhenUsed/>
    <w:rsid w:val="004A2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7E2"/>
    <w:rPr>
      <w:rFonts w:ascii="Segoe UI" w:hAnsi="Segoe UI" w:cs="Segoe UI"/>
      <w:sz w:val="18"/>
      <w:szCs w:val="18"/>
    </w:rPr>
  </w:style>
  <w:style w:type="character" w:styleId="Hipervnculovisitado">
    <w:name w:val="FollowedHyperlink"/>
    <w:basedOn w:val="Fuentedeprrafopredeter"/>
    <w:uiPriority w:val="99"/>
    <w:semiHidden/>
    <w:unhideWhenUsed/>
    <w:rsid w:val="00710D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0A12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12A7"/>
    <w:rPr>
      <w:sz w:val="20"/>
      <w:szCs w:val="20"/>
    </w:rPr>
  </w:style>
  <w:style w:type="character" w:styleId="Refdenotaalfinal">
    <w:name w:val="endnote reference"/>
    <w:basedOn w:val="Fuentedeprrafopredeter"/>
    <w:uiPriority w:val="99"/>
    <w:semiHidden/>
    <w:unhideWhenUsed/>
    <w:rsid w:val="000A12A7"/>
    <w:rPr>
      <w:vertAlign w:val="superscript"/>
    </w:rPr>
  </w:style>
  <w:style w:type="character" w:styleId="Hipervnculo">
    <w:name w:val="Hyperlink"/>
    <w:basedOn w:val="Fuentedeprrafopredeter"/>
    <w:uiPriority w:val="99"/>
    <w:unhideWhenUsed/>
    <w:rsid w:val="001B44D0"/>
    <w:rPr>
      <w:color w:val="0000FF" w:themeColor="hyperlink"/>
      <w:u w:val="single"/>
    </w:rPr>
  </w:style>
  <w:style w:type="paragraph" w:styleId="Encabezado">
    <w:name w:val="header"/>
    <w:basedOn w:val="Normal"/>
    <w:link w:val="EncabezadoCar"/>
    <w:uiPriority w:val="99"/>
    <w:unhideWhenUsed/>
    <w:rsid w:val="004A27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7E2"/>
  </w:style>
  <w:style w:type="paragraph" w:styleId="Piedepgina">
    <w:name w:val="footer"/>
    <w:basedOn w:val="Normal"/>
    <w:link w:val="PiedepginaCar"/>
    <w:uiPriority w:val="99"/>
    <w:unhideWhenUsed/>
    <w:rsid w:val="004A27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7E2"/>
  </w:style>
  <w:style w:type="paragraph" w:styleId="Textodeglobo">
    <w:name w:val="Balloon Text"/>
    <w:basedOn w:val="Normal"/>
    <w:link w:val="TextodegloboCar"/>
    <w:uiPriority w:val="99"/>
    <w:semiHidden/>
    <w:unhideWhenUsed/>
    <w:rsid w:val="004A27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7E2"/>
    <w:rPr>
      <w:rFonts w:ascii="Segoe UI" w:hAnsi="Segoe UI" w:cs="Segoe UI"/>
      <w:sz w:val="18"/>
      <w:szCs w:val="18"/>
    </w:rPr>
  </w:style>
  <w:style w:type="character" w:styleId="Hipervnculovisitado">
    <w:name w:val="FollowedHyperlink"/>
    <w:basedOn w:val="Fuentedeprrafopredeter"/>
    <w:uiPriority w:val="99"/>
    <w:semiHidden/>
    <w:unhideWhenUsed/>
    <w:rsid w:val="00710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compra.gov.ar/prod/onc/sitio/Paginas/Preinscripcion_new/pedir_cuit.asp?tipoconstancia=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rviciosweb.afip.gob.ar/genericos/rg1814/consulta.aspx" TargetMode="External"/><Relationship Id="rId4" Type="http://schemas.openxmlformats.org/officeDocument/2006/relationships/settings" Target="settings.xml"/><Relationship Id="rId9" Type="http://schemas.openxmlformats.org/officeDocument/2006/relationships/hyperlink" Target="https://comprar.gob.ar/PLIEGO/BuscarProveedorCiudadano.aspx"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dga.unsa.edu.ar/docvs/Contrataciones/dictamenes%20de%20evaluaci%C3%B3n/" TargetMode="External"/><Relationship Id="rId1" Type="http://schemas.openxmlformats.org/officeDocument/2006/relationships/hyperlink" Target="http://repsal.trabajo.gob.a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ga.unsa.edu.ar"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5C57-0151-4C54-9A56-0C269379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9759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DiegoRod</dc:creator>
  <cp:lastModifiedBy>UOC</cp:lastModifiedBy>
  <cp:revision>2</cp:revision>
  <cp:lastPrinted>2019-03-20T23:39:00Z</cp:lastPrinted>
  <dcterms:created xsi:type="dcterms:W3CDTF">2019-03-20T23:41:00Z</dcterms:created>
  <dcterms:modified xsi:type="dcterms:W3CDTF">2019-03-20T23:41:00Z</dcterms:modified>
</cp:coreProperties>
</file>